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1F2E2E"/>
          <w:sz w:val="22"/>
          <w:szCs w:val="22"/>
        </w:rPr>
        <w:t xml:space="preserve">THE DOME RETREATS RAJANUKUNTE</w:t>
      </w:r>
    </w:p>
    <w:p>
      <w:pPr>
        <w:spacing w:after="300"/>
      </w:pPr>
      <w:r>
        <w:rPr>
          <w:b/>
          <w:bCs/>
          <w:color w:val="9C7A3C"/>
          <w:sz w:val="40"/>
          <w:szCs w:val="40"/>
        </w:rPr>
        <w:t xml:space="preserve">Sustainability Program — Vision Roadmap</w:t>
      </w:r>
    </w:p>
    <w:p>
      <w:pPr>
        <w:spacing w:after="140"/>
      </w:pPr>
      <w:r>
        <w:rPr>
          <w:i/>
          <w:iCs/>
          <w:color w:val="6B6B6B"/>
          <w:sz w:val="19"/>
          <w:szCs w:val="19"/>
        </w:rPr>
        <w:t xml:space="preserve">Source of inspiration: @eco_mantra (Instagram) — a hospitality sustainability design and operations consultancy. Prepared as food-for-thought input, not a locked plan.</w:t>
      </w:r>
    </w:p>
    <w:p>
      <w:pPr>
        <w:spacing w:after="100"/>
      </w:pPr>
      <w:r>
        <w:rPr>
          <w:i/>
          <w:iCs/>
          <w:color w:val="6B6B6B"/>
          <w:sz w:val="18"/>
          <w:szCs w:val="18"/>
        </w:rPr>
        <w:t xml:space="preserve">Prepared for: Karthik (Director, Sustainability Program Lead) · Mohan · GM · Directors board  ·  1 Aug 2026</w:t>
      </w:r>
    </w:p>
    <w:p>
      <w:pPr>
        <w:pBdr>
          <w:bottom w:val="single" w:color="CCCCCC" w:sz="6" w:space="1"/>
        </w:pBdr>
        <w:spacing w:after="200"/>
      </w:pPr>
    </w:p>
    <w:p>
      <w:pPr>
        <w:pStyle w:val="Heading1"/>
        <w:spacing w:after="200" w:before="400"/>
      </w:pPr>
      <w:r>
        <w:rPr>
          <w:b/>
          <w:bCs/>
          <w:color w:val="1F2E2E"/>
          <w:sz w:val="30"/>
          <w:szCs w:val="30"/>
        </w:rPr>
        <w:t xml:space="preserve">1. Why this document exists</w:t>
      </w:r>
    </w:p>
    <w:p>
      <w:pPr>
        <w:spacing w:after="140"/>
      </w:pPr>
      <w:r>
        <w:rPr>
          <w:color w:val="222222"/>
          <w:sz w:val="21"/>
          <w:szCs w:val="21"/>
        </w:rPr>
        <w:t xml:space="preserve">An @eco_mantra Instagram carousel (posted 27 Jul 2026, reviewed 1 Aug 2026) lays out ten research-backed findings on what actually changes guest and property sustainability outcomes in hospitality — and what doesn't. The findings are unusually well-aligned with TDRR's own Sustainability Brand Guide (v1.0, May 2026), which already commits to an "Evidence First, Always" doctrine and a November 2026 RTSOI + GSTC certification target.</w:t>
      </w:r>
    </w:p>
    <w:p>
      <w:pPr>
        <w:spacing w:after="140"/>
      </w:pPr>
      <w:r>
        <w:rPr>
          <w:color w:val="222222"/>
          <w:sz w:val="21"/>
          <w:szCs w:val="21"/>
        </w:rPr>
        <w:t xml:space="preserve">This roadmap does three things: (1) restates the ten findings in TDRR-specific terms, (2) maps each to a concrete action against TDRR's existing property, CLD program, and certification evidence gaps, and (3) sequences them into a phased plan Karthik can run as sustainability lead, reporting to the Director board every 6 weeks per the existing implementation cadence.</w:t>
      </w:r>
    </w:p>
    <w:p>
      <w:pPr>
        <w:spacing w:after="140"/>
      </w:pPr>
      <w:r>
        <w:rPr>
          <w:color w:val="222222"/>
          <w:sz w:val="21"/>
          <w:szCs w:val="21"/>
        </w:rPr>
        <w:t xml:space="preserve">Nothing here overrides standing decisions in decisions-log.md. Where an item requires board sign-off (capex, certification claims, staffing), it is flagged explicitly.</w:t>
      </w:r>
    </w:p>
    <w:p>
      <w:pPr>
        <w:pStyle w:val="Heading1"/>
        <w:spacing w:after="200" w:before="400"/>
      </w:pPr>
      <w:r>
        <w:rPr>
          <w:b/>
          <w:bCs/>
          <w:color w:val="1F2E2E"/>
          <w:sz w:val="30"/>
          <w:szCs w:val="30"/>
        </w:rPr>
        <w:t xml:space="preserve">2. The core finding, restated for TDRR</w:t>
      </w:r>
    </w:p>
    <w:p>
      <w:pPr>
        <w:spacing w:after="140"/>
      </w:pPr>
      <w:r>
        <w:rPr>
          <w:color w:val="222222"/>
          <w:sz w:val="21"/>
          <w:szCs w:val="21"/>
        </w:rPr>
        <w:t xml:space="preserve">Across the ten points, one thesis repeats: signage and messaging do not change guest or operational outcomes — integrated design and quiet operations do. Guests, especially in the mid-to-upper segment TDRR targets, do not want to be told a property is sustainable; they want to feel it, and they get suspicious when they're told too much (one cited 2025 study found roughly half of luxury guests felt overwhelmed or unable to interpret hotel sustainability messaging).</w:t>
      </w:r>
    </w:p>
    <w:p>
      <w:pPr>
        <w:spacing w:after="140"/>
      </w:pPr>
      <w:r>
        <w:rPr>
          <w:color w:val="222222"/>
          <w:sz w:val="21"/>
          <w:szCs w:val="21"/>
        </w:rPr>
        <w:t xml:space="preserve">This is not a new position for TDRR to adopt — it's independent validation of one already written into the brand guide: guest-facing sustainability claims should be specific and evidenced, never a vague "we care about the planet" statement. The eco_mantra research gives that doctrine a second, external evidence base and sharpens where to apply it operationally, not just editorially.</w:t>
      </w:r>
    </w:p>
    <w:p>
      <w:pPr>
        <w:pStyle w:val="Heading1"/>
        <w:spacing w:after="200" w:before="400"/>
      </w:pPr>
      <w:r>
        <w:rPr>
          <w:b/>
          <w:bCs/>
          <w:color w:val="1F2E2E"/>
          <w:sz w:val="30"/>
          <w:szCs w:val="30"/>
        </w:rPr>
        <w:t xml:space="preserve">3. Ten findings → TDRR-specific translation</w:t>
      </w:r>
    </w:p>
    <w:tbl>
      <w:tblPr>
        <w:tblW w:type="dxa" w:w="10040"/>
        <w:tblBorders>
          <w:top w:val="single" w:color="auto" w:sz="4"/>
          <w:left w:val="single" w:color="auto" w:sz="4"/>
          <w:bottom w:val="single" w:color="auto" w:sz="4"/>
          <w:right w:val="single" w:color="auto" w:sz="4"/>
          <w:insideH w:val="single" w:color="auto" w:sz="4"/>
          <w:insideV w:val="single" w:color="auto" w:sz="4"/>
        </w:tblBorders>
      </w:tblPr>
      <w:tblGrid>
        <w:gridCol w:w="2800"/>
        <w:gridCol w:w="3900"/>
        <w:gridCol w:w="1300"/>
        <w:gridCol w:w="2040"/>
      </w:tblGrid>
      <w:tr>
        <w:tc>
          <w:tcPr>
            <w:tcW w:type="dxa" w:w="2800"/>
            <w:shd w:fill="1F2E2E" w:val="clear"/>
            <w:tcMar>
              <w:top w:type="dxa" w:w="100"/>
              <w:left w:type="dxa" w:w="120"/>
              <w:bottom w:type="dxa" w:w="100"/>
              <w:right w:type="dxa" w:w="120"/>
            </w:tcMar>
          </w:tcPr>
          <w:p>
            <w:r>
              <w:rPr>
                <w:b/>
                <w:bCs/>
                <w:color w:val="FFFFFF"/>
                <w:sz w:val="19"/>
                <w:szCs w:val="19"/>
              </w:rPr>
              <w:t xml:space="preserve">Item</w:t>
            </w:r>
          </w:p>
        </w:tc>
        <w:tc>
          <w:tcPr>
            <w:tcW w:type="dxa" w:w="3900"/>
            <w:shd w:fill="1F2E2E" w:val="clear"/>
            <w:tcMar>
              <w:top w:type="dxa" w:w="100"/>
              <w:left w:type="dxa" w:w="120"/>
              <w:bottom w:type="dxa" w:w="100"/>
              <w:right w:type="dxa" w:w="120"/>
            </w:tcMar>
          </w:tcPr>
          <w:p>
            <w:r>
              <w:rPr>
                <w:b/>
                <w:bCs/>
                <w:color w:val="FFFFFF"/>
                <w:sz w:val="19"/>
                <w:szCs w:val="19"/>
              </w:rPr>
              <w:t xml:space="preserve">TDRR action</w:t>
            </w:r>
          </w:p>
        </w:tc>
        <w:tc>
          <w:tcPr>
            <w:tcW w:type="dxa" w:w="1300"/>
            <w:shd w:fill="1F2E2E" w:val="clear"/>
            <w:tcMar>
              <w:top w:type="dxa" w:w="100"/>
              <w:left w:type="dxa" w:w="120"/>
              <w:bottom w:type="dxa" w:w="100"/>
              <w:right w:type="dxa" w:w="120"/>
            </w:tcMar>
          </w:tcPr>
          <w:p>
            <w:r>
              <w:rPr>
                <w:b/>
                <w:bCs/>
                <w:color w:val="FFFFFF"/>
                <w:sz w:val="19"/>
                <w:szCs w:val="19"/>
              </w:rPr>
              <w:t xml:space="preserve">Owner</w:t>
            </w:r>
          </w:p>
        </w:tc>
        <w:tc>
          <w:tcPr>
            <w:tcW w:type="dxa" w:w="2040"/>
            <w:shd w:fill="1F2E2E" w:val="clear"/>
            <w:tcMar>
              <w:top w:type="dxa" w:w="100"/>
              <w:left w:type="dxa" w:w="120"/>
              <w:bottom w:type="dxa" w:w="100"/>
              <w:right w:type="dxa" w:w="120"/>
            </w:tcMar>
          </w:tcPr>
          <w:p>
            <w:r>
              <w:rPr>
                <w:b/>
                <w:bCs/>
                <w:color w:val="FFFFFF"/>
                <w:sz w:val="19"/>
                <w:szCs w:val="19"/>
              </w:rPr>
              <w:t xml:space="preserve">Ties to</w:t>
            </w:r>
          </w:p>
        </w:tc>
      </w:tr>
      <w:tr>
        <w:tc>
          <w:tcPr>
            <w:tcW w:type="dxa" w:w="2800"/>
            <w:shd w:fill="FFFFFF" w:val="clear"/>
            <w:tcMar>
              <w:top w:type="dxa" w:w="100"/>
              <w:left w:type="dxa" w:w="120"/>
              <w:bottom w:type="dxa" w:w="100"/>
              <w:right w:type="dxa" w:w="120"/>
            </w:tcMar>
          </w:tcPr>
          <w:p>
            <w:r>
              <w:rPr>
                <w:b w:val="false"/>
                <w:bCs w:val="false"/>
                <w:color w:val="222222"/>
                <w:sz w:val="19"/>
                <w:szCs w:val="19"/>
              </w:rPr>
              <w:t xml:space="preserve">1. Signage doesn't change behaviour</w:t>
            </w:r>
          </w:p>
        </w:tc>
        <w:tc>
          <w:tcPr>
            <w:tcW w:type="dxa" w:w="3900"/>
            <w:shd w:fill="FFFFFF" w:val="clear"/>
            <w:tcMar>
              <w:top w:type="dxa" w:w="100"/>
              <w:left w:type="dxa" w:w="120"/>
              <w:bottom w:type="dxa" w:w="100"/>
              <w:right w:type="dxa" w:w="120"/>
            </w:tcMar>
          </w:tcPr>
          <w:p>
            <w:r>
              <w:rPr>
                <w:b w:val="false"/>
                <w:bCs w:val="false"/>
                <w:color w:val="222222"/>
                <w:sz w:val="19"/>
                <w:szCs w:val="19"/>
              </w:rPr>
              <w:t xml:space="preserve">Retire or minimise in-room "please conserve" cards. Replace with default-setting changes (see #2) — nothing for the guest to read or ignore.</w:t>
            </w:r>
          </w:p>
        </w:tc>
        <w:tc>
          <w:tcPr>
            <w:tcW w:type="dxa" w:w="1300"/>
            <w:shd w:fill="FFFFFF" w:val="clear"/>
            <w:tcMar>
              <w:top w:type="dxa" w:w="100"/>
              <w:left w:type="dxa" w:w="120"/>
              <w:bottom w:type="dxa" w:w="100"/>
              <w:right w:type="dxa" w:w="120"/>
            </w:tcMar>
          </w:tcPr>
          <w:p>
            <w:r>
              <w:rPr>
                <w:b w:val="false"/>
                <w:bCs w:val="false"/>
                <w:color w:val="222222"/>
                <w:sz w:val="19"/>
                <w:szCs w:val="19"/>
              </w:rPr>
              <w:t xml:space="preserve">Karthik + GM</w:t>
            </w:r>
          </w:p>
        </w:tc>
        <w:tc>
          <w:tcPr>
            <w:tcW w:type="dxa" w:w="2040"/>
            <w:shd w:fill="FFFFFF" w:val="clear"/>
            <w:tcMar>
              <w:top w:type="dxa" w:w="100"/>
              <w:left w:type="dxa" w:w="120"/>
              <w:bottom w:type="dxa" w:w="100"/>
              <w:right w:type="dxa" w:w="120"/>
            </w:tcMar>
          </w:tcPr>
          <w:p>
            <w:r>
              <w:rPr>
                <w:b w:val="false"/>
                <w:bCs w:val="false"/>
                <w:color w:val="222222"/>
                <w:sz w:val="19"/>
                <w:szCs w:val="19"/>
              </w:rPr>
              <w:t xml:space="preserve">Brand Guide §9</w:t>
            </w:r>
          </w:p>
        </w:tc>
      </w:tr>
      <w:tr>
        <w:tc>
          <w:tcPr>
            <w:tcW w:type="dxa" w:w="2800"/>
            <w:shd w:fill="F2EFE9" w:val="clear"/>
            <w:tcMar>
              <w:top w:type="dxa" w:w="100"/>
              <w:left w:type="dxa" w:w="120"/>
              <w:bottom w:type="dxa" w:w="100"/>
              <w:right w:type="dxa" w:w="120"/>
            </w:tcMar>
          </w:tcPr>
          <w:p>
            <w:r>
              <w:rPr>
                <w:b w:val="false"/>
                <w:bCs w:val="false"/>
                <w:color w:val="222222"/>
                <w:sz w:val="19"/>
                <w:szCs w:val="19"/>
              </w:rPr>
              <w:t xml:space="preserve">2. Change the default, not the ask</w:t>
            </w:r>
          </w:p>
        </w:tc>
        <w:tc>
          <w:tcPr>
            <w:tcW w:type="dxa" w:w="3900"/>
            <w:shd w:fill="F2EFE9" w:val="clear"/>
            <w:tcMar>
              <w:top w:type="dxa" w:w="100"/>
              <w:left w:type="dxa" w:w="120"/>
              <w:bottom w:type="dxa" w:w="100"/>
              <w:right w:type="dxa" w:w="120"/>
            </w:tcMar>
          </w:tcPr>
          <w:p>
            <w:r>
              <w:rPr>
                <w:b w:val="false"/>
                <w:bCs w:val="false"/>
                <w:color w:val="222222"/>
                <w:sz w:val="19"/>
                <w:szCs w:val="19"/>
              </w:rPr>
              <w:t xml:space="preserve">Refillable amenity dispensers instead of asking guests to reuse; default room ventilation/AC setpoints tuned for comfort-with-efficiency rather than posted requests to switch off AC.</w:t>
            </w:r>
          </w:p>
        </w:tc>
        <w:tc>
          <w:tcPr>
            <w:tcW w:type="dxa" w:w="1300"/>
            <w:shd w:fill="F2EFE9" w:val="clear"/>
            <w:tcMar>
              <w:top w:type="dxa" w:w="100"/>
              <w:left w:type="dxa" w:w="120"/>
              <w:bottom w:type="dxa" w:w="100"/>
              <w:right w:type="dxa" w:w="120"/>
            </w:tcMar>
          </w:tcPr>
          <w:p>
            <w:r>
              <w:rPr>
                <w:b w:val="false"/>
                <w:bCs w:val="false"/>
                <w:color w:val="222222"/>
                <w:sz w:val="19"/>
                <w:szCs w:val="19"/>
              </w:rPr>
              <w:t xml:space="preserve">GM + Ops</w:t>
            </w:r>
          </w:p>
        </w:tc>
        <w:tc>
          <w:tcPr>
            <w:tcW w:type="dxa" w:w="2040"/>
            <w:shd w:fill="F2EFE9" w:val="clear"/>
            <w:tcMar>
              <w:top w:type="dxa" w:w="100"/>
              <w:left w:type="dxa" w:w="120"/>
              <w:bottom w:type="dxa" w:w="100"/>
              <w:right w:type="dxa" w:w="120"/>
            </w:tcMar>
          </w:tcPr>
          <w:p>
            <w:r>
              <w:rPr>
                <w:b w:val="false"/>
                <w:bCs w:val="false"/>
                <w:color w:val="222222"/>
                <w:sz w:val="19"/>
                <w:szCs w:val="19"/>
              </w:rPr>
              <w:t xml:space="preserve">Power factor optimisation (existing)</w:t>
            </w:r>
          </w:p>
        </w:tc>
      </w:tr>
      <w:tr>
        <w:tc>
          <w:tcPr>
            <w:tcW w:type="dxa" w:w="2800"/>
            <w:shd w:fill="FFFFFF" w:val="clear"/>
            <w:tcMar>
              <w:top w:type="dxa" w:w="100"/>
              <w:left w:type="dxa" w:w="120"/>
              <w:bottom w:type="dxa" w:w="100"/>
              <w:right w:type="dxa" w:w="120"/>
            </w:tcMar>
          </w:tcPr>
          <w:p>
            <w:r>
              <w:rPr>
                <w:b w:val="false"/>
                <w:bCs w:val="false"/>
                <w:color w:val="222222"/>
                <w:sz w:val="19"/>
                <w:szCs w:val="19"/>
              </w:rPr>
              <w:t xml:space="preserve">3. Works on existing buildings, not just new builds</w:t>
            </w:r>
          </w:p>
        </w:tc>
        <w:tc>
          <w:tcPr>
            <w:tcW w:type="dxa" w:w="3900"/>
            <w:shd w:fill="FFFFFF" w:val="clear"/>
            <w:tcMar>
              <w:top w:type="dxa" w:w="100"/>
              <w:left w:type="dxa" w:w="120"/>
              <w:bottom w:type="dxa" w:w="100"/>
              <w:right w:type="dxa" w:w="120"/>
            </w:tcMar>
          </w:tcPr>
          <w:p>
            <w:r>
              <w:rPr>
                <w:b w:val="false"/>
                <w:bCs w:val="false"/>
                <w:color w:val="222222"/>
                <w:sz w:val="19"/>
                <w:szCs w:val="19"/>
              </w:rPr>
              <w:t xml:space="preserve">Run a structured retrofit audit across all 11 rooms (not just new Zone B construction) — energy, water, waste — mirroring eco_mantra's own audit-first model for existing partner properties.</w:t>
            </w:r>
          </w:p>
        </w:tc>
        <w:tc>
          <w:tcPr>
            <w:tcW w:type="dxa" w:w="1300"/>
            <w:shd w:fill="FFFFFF" w:val="clear"/>
            <w:tcMar>
              <w:top w:type="dxa" w:w="100"/>
              <w:left w:type="dxa" w:w="120"/>
              <w:bottom w:type="dxa" w:w="100"/>
              <w:right w:type="dxa" w:w="120"/>
            </w:tcMar>
          </w:tcPr>
          <w:p>
            <w:r>
              <w:rPr>
                <w:b w:val="false"/>
                <w:bCs w:val="false"/>
                <w:color w:val="222222"/>
                <w:sz w:val="19"/>
                <w:szCs w:val="19"/>
              </w:rPr>
              <w:t xml:space="preserve">Karthik</w:t>
            </w:r>
          </w:p>
        </w:tc>
        <w:tc>
          <w:tcPr>
            <w:tcW w:type="dxa" w:w="2040"/>
            <w:shd w:fill="FFFFFF" w:val="clear"/>
            <w:tcMar>
              <w:top w:type="dxa" w:w="100"/>
              <w:left w:type="dxa" w:w="120"/>
              <w:bottom w:type="dxa" w:w="100"/>
              <w:right w:type="dxa" w:w="120"/>
            </w:tcMar>
          </w:tcPr>
          <w:p>
            <w:r>
              <w:rPr>
                <w:b w:val="false"/>
                <w:bCs w:val="false"/>
                <w:color w:val="222222"/>
                <w:sz w:val="19"/>
                <w:szCs w:val="19"/>
              </w:rPr>
              <w:t xml:space="preserve">Water/energy metering (open loop, started Jun 2026)</w:t>
            </w:r>
          </w:p>
        </w:tc>
      </w:tr>
      <w:tr>
        <w:tc>
          <w:tcPr>
            <w:tcW w:type="dxa" w:w="2800"/>
            <w:shd w:fill="F2EFE9" w:val="clear"/>
            <w:tcMar>
              <w:top w:type="dxa" w:w="100"/>
              <w:left w:type="dxa" w:w="120"/>
              <w:bottom w:type="dxa" w:w="100"/>
              <w:right w:type="dxa" w:w="120"/>
            </w:tcMar>
          </w:tcPr>
          <w:p>
            <w:r>
              <w:rPr>
                <w:b w:val="false"/>
                <w:bCs w:val="false"/>
                <w:color w:val="222222"/>
                <w:sz w:val="19"/>
                <w:szCs w:val="19"/>
              </w:rPr>
              <w:t xml:space="preserve">4. Kitchen is the cheapest place to start</w:t>
            </w:r>
          </w:p>
        </w:tc>
        <w:tc>
          <w:tcPr>
            <w:tcW w:type="dxa" w:w="3900"/>
            <w:shd w:fill="F2EFE9" w:val="clear"/>
            <w:tcMar>
              <w:top w:type="dxa" w:w="100"/>
              <w:left w:type="dxa" w:w="120"/>
              <w:bottom w:type="dxa" w:w="100"/>
              <w:right w:type="dxa" w:w="120"/>
            </w:tcMar>
          </w:tcPr>
          <w:p>
            <w:r>
              <w:rPr>
                <w:b w:val="false"/>
                <w:bCs w:val="false"/>
                <w:color w:val="222222"/>
                <w:sz w:val="19"/>
                <w:szCs w:val="19"/>
              </w:rPr>
              <w:t xml:space="preserve">F&amp;B waste audit via ANNA system once live: plate-size, buffet layout, and CLD menu portioning review with GM. Target 30–50% food-waste cut, no guest-facing messaging required.</w:t>
            </w:r>
          </w:p>
        </w:tc>
        <w:tc>
          <w:tcPr>
            <w:tcW w:type="dxa" w:w="1300"/>
            <w:shd w:fill="F2EFE9" w:val="clear"/>
            <w:tcMar>
              <w:top w:type="dxa" w:w="100"/>
              <w:left w:type="dxa" w:w="120"/>
              <w:bottom w:type="dxa" w:w="100"/>
              <w:right w:type="dxa" w:w="120"/>
            </w:tcMar>
          </w:tcPr>
          <w:p>
            <w:r>
              <w:rPr>
                <w:b w:val="false"/>
                <w:bCs w:val="false"/>
                <w:color w:val="222222"/>
                <w:sz w:val="19"/>
                <w:szCs w:val="19"/>
              </w:rPr>
              <w:t xml:space="preserve">GM</w:t>
            </w:r>
          </w:p>
        </w:tc>
        <w:tc>
          <w:tcPr>
            <w:tcW w:type="dxa" w:w="2040"/>
            <w:shd w:fill="F2EFE9" w:val="clear"/>
            <w:tcMar>
              <w:top w:type="dxa" w:w="100"/>
              <w:left w:type="dxa" w:w="120"/>
              <w:bottom w:type="dxa" w:w="100"/>
              <w:right w:type="dxa" w:w="120"/>
            </w:tcMar>
          </w:tcPr>
          <w:p>
            <w:r>
              <w:rPr>
                <w:b w:val="false"/>
                <w:bCs w:val="false"/>
                <w:color w:val="222222"/>
                <w:sz w:val="19"/>
                <w:szCs w:val="19"/>
              </w:rPr>
              <w:t xml:space="preserve">ANNA F&amp;B system (fnb-agni.md)</w:t>
            </w:r>
          </w:p>
        </w:tc>
      </w:tr>
      <w:tr>
        <w:tc>
          <w:tcPr>
            <w:tcW w:type="dxa" w:w="2800"/>
            <w:shd w:fill="FFFFFF" w:val="clear"/>
            <w:tcMar>
              <w:top w:type="dxa" w:w="100"/>
              <w:left w:type="dxa" w:w="120"/>
              <w:bottom w:type="dxa" w:w="100"/>
              <w:right w:type="dxa" w:w="120"/>
            </w:tcMar>
          </w:tcPr>
          <w:p>
            <w:r>
              <w:rPr>
                <w:b w:val="false"/>
                <w:bCs w:val="false"/>
                <w:color w:val="222222"/>
                <w:sz w:val="19"/>
                <w:szCs w:val="19"/>
              </w:rPr>
              <w:t xml:space="preserve">5. Local spend is the real sustainability metric, not certificates</w:t>
            </w:r>
          </w:p>
        </w:tc>
        <w:tc>
          <w:tcPr>
            <w:tcW w:type="dxa" w:w="3900"/>
            <w:shd w:fill="FFFFFF" w:val="clear"/>
            <w:tcMar>
              <w:top w:type="dxa" w:w="100"/>
              <w:left w:type="dxa" w:w="120"/>
              <w:bottom w:type="dxa" w:w="100"/>
              <w:right w:type="dxa" w:w="120"/>
            </w:tcMar>
          </w:tcPr>
          <w:p>
            <w:r>
              <w:rPr>
                <w:b w:val="false"/>
                <w:bCs w:val="false"/>
                <w:color w:val="222222"/>
                <w:sz w:val="19"/>
                <w:szCs w:val="19"/>
              </w:rPr>
              <w:t xml:space="preserve">Track and eventually publish % of F&amp;B and CLD sourcing spend that stays local (farms/vendors within the region) as a hard KPI, alongside the certification evidence folder.</w:t>
            </w:r>
          </w:p>
        </w:tc>
        <w:tc>
          <w:tcPr>
            <w:tcW w:type="dxa" w:w="1300"/>
            <w:shd w:fill="FFFFFF" w:val="clear"/>
            <w:tcMar>
              <w:top w:type="dxa" w:w="100"/>
              <w:left w:type="dxa" w:w="120"/>
              <w:bottom w:type="dxa" w:w="100"/>
              <w:right w:type="dxa" w:w="120"/>
            </w:tcMar>
          </w:tcPr>
          <w:p>
            <w:r>
              <w:rPr>
                <w:b w:val="false"/>
                <w:bCs w:val="false"/>
                <w:color w:val="222222"/>
                <w:sz w:val="19"/>
                <w:szCs w:val="19"/>
              </w:rPr>
              <w:t xml:space="preserve">GM + Karthik</w:t>
            </w:r>
          </w:p>
        </w:tc>
        <w:tc>
          <w:tcPr>
            <w:tcW w:type="dxa" w:w="2040"/>
            <w:shd w:fill="FFFFFF" w:val="clear"/>
            <w:tcMar>
              <w:top w:type="dxa" w:w="100"/>
              <w:left w:type="dxa" w:w="120"/>
              <w:bottom w:type="dxa" w:w="100"/>
              <w:right w:type="dxa" w:w="120"/>
            </w:tcMar>
          </w:tcPr>
          <w:p>
            <w:r>
              <w:rPr>
                <w:b w:val="false"/>
                <w:bCs w:val="false"/>
                <w:color w:val="222222"/>
                <w:sz w:val="19"/>
                <w:szCs w:val="19"/>
              </w:rPr>
              <w:t xml:space="preserve">P3 Community &amp; Economy pillar</w:t>
            </w:r>
          </w:p>
        </w:tc>
      </w:tr>
      <w:tr>
        <w:tc>
          <w:tcPr>
            <w:tcW w:type="dxa" w:w="2800"/>
            <w:shd w:fill="F2EFE9" w:val="clear"/>
            <w:tcMar>
              <w:top w:type="dxa" w:w="100"/>
              <w:left w:type="dxa" w:w="120"/>
              <w:bottom w:type="dxa" w:w="100"/>
              <w:right w:type="dxa" w:w="120"/>
            </w:tcMar>
          </w:tcPr>
          <w:p>
            <w:r>
              <w:rPr>
                <w:b w:val="false"/>
                <w:bCs w:val="false"/>
                <w:color w:val="222222"/>
                <w:sz w:val="19"/>
                <w:szCs w:val="19"/>
              </w:rPr>
              <w:t xml:space="preserve">6. Luxury guests want it built-in, not broadcast</w:t>
            </w:r>
          </w:p>
        </w:tc>
        <w:tc>
          <w:tcPr>
            <w:tcW w:type="dxa" w:w="3900"/>
            <w:shd w:fill="F2EFE9" w:val="clear"/>
            <w:tcMar>
              <w:top w:type="dxa" w:w="100"/>
              <w:left w:type="dxa" w:w="120"/>
              <w:bottom w:type="dxa" w:w="100"/>
              <w:right w:type="dxa" w:w="120"/>
            </w:tcMar>
          </w:tcPr>
          <w:p>
            <w:r>
              <w:rPr>
                <w:b w:val="false"/>
                <w:bCs w:val="false"/>
                <w:color w:val="222222"/>
                <w:sz w:val="19"/>
                <w:szCs w:val="19"/>
              </w:rPr>
              <w:t xml:space="preserve">Confirms existing rule: no dedicated "sustainability marketing push." Sustainability content stays folded into P1/P3 content pillars as texture, never a standalone campaign.</w:t>
            </w:r>
          </w:p>
        </w:tc>
        <w:tc>
          <w:tcPr>
            <w:tcW w:type="dxa" w:w="1300"/>
            <w:shd w:fill="F2EFE9" w:val="clear"/>
            <w:tcMar>
              <w:top w:type="dxa" w:w="100"/>
              <w:left w:type="dxa" w:w="120"/>
              <w:bottom w:type="dxa" w:w="100"/>
              <w:right w:type="dxa" w:w="120"/>
            </w:tcMar>
          </w:tcPr>
          <w:p>
            <w:r>
              <w:rPr>
                <w:b w:val="false"/>
                <w:bCs w:val="false"/>
                <w:color w:val="222222"/>
                <w:sz w:val="19"/>
                <w:szCs w:val="19"/>
              </w:rPr>
              <w:t xml:space="preserve">Marketing (website-marketing.md)</w:t>
            </w:r>
          </w:p>
        </w:tc>
        <w:tc>
          <w:tcPr>
            <w:tcW w:type="dxa" w:w="2040"/>
            <w:shd w:fill="F2EFE9" w:val="clear"/>
            <w:tcMar>
              <w:top w:type="dxa" w:w="100"/>
              <w:left w:type="dxa" w:w="120"/>
              <w:bottom w:type="dxa" w:w="100"/>
              <w:right w:type="dxa" w:w="120"/>
            </w:tcMar>
          </w:tcPr>
          <w:p>
            <w:r>
              <w:rPr>
                <w:b w:val="false"/>
                <w:bCs w:val="false"/>
                <w:color w:val="222222"/>
                <w:sz w:val="19"/>
                <w:szCs w:val="19"/>
              </w:rPr>
              <w:t xml:space="preserve">Brand Guide §6 content mix</w:t>
            </w:r>
          </w:p>
        </w:tc>
      </w:tr>
      <w:tr>
        <w:tc>
          <w:tcPr>
            <w:tcW w:type="dxa" w:w="2800"/>
            <w:shd w:fill="FFFFFF" w:val="clear"/>
            <w:tcMar>
              <w:top w:type="dxa" w:w="100"/>
              <w:left w:type="dxa" w:w="120"/>
              <w:bottom w:type="dxa" w:w="100"/>
              <w:right w:type="dxa" w:w="120"/>
            </w:tcMar>
          </w:tcPr>
          <w:p>
            <w:r>
              <w:rPr>
                <w:b w:val="false"/>
                <w:bCs w:val="false"/>
                <w:color w:val="222222"/>
                <w:sz w:val="19"/>
                <w:szCs w:val="19"/>
              </w:rPr>
              <w:t xml:space="preserve">7. Make the sustainable choice the nicer choice</w:t>
            </w:r>
          </w:p>
        </w:tc>
        <w:tc>
          <w:tcPr>
            <w:tcW w:type="dxa" w:w="3900"/>
            <w:shd w:fill="FFFFFF" w:val="clear"/>
            <w:tcMar>
              <w:top w:type="dxa" w:w="100"/>
              <w:left w:type="dxa" w:w="120"/>
              <w:bottom w:type="dxa" w:w="100"/>
              <w:right w:type="dxa" w:w="120"/>
            </w:tcMar>
          </w:tcPr>
          <w:p>
            <w:r>
              <w:rPr>
                <w:b w:val="false"/>
                <w:bCs w:val="false"/>
                <w:color w:val="222222"/>
                <w:sz w:val="19"/>
                <w:szCs w:val="19"/>
              </w:rPr>
              <w:t xml:space="preserve">Any sustainability-linked change (amenities, food sourcing, materials) is evaluated first on guest-experience upside, not cost-saving alone — reframes CLD local-sourcing as a taste/freshness story, not an eco pitch.</w:t>
            </w:r>
          </w:p>
        </w:tc>
        <w:tc>
          <w:tcPr>
            <w:tcW w:type="dxa" w:w="1300"/>
            <w:shd w:fill="FFFFFF" w:val="clear"/>
            <w:tcMar>
              <w:top w:type="dxa" w:w="100"/>
              <w:left w:type="dxa" w:w="120"/>
              <w:bottom w:type="dxa" w:w="100"/>
              <w:right w:type="dxa" w:w="120"/>
            </w:tcMar>
          </w:tcPr>
          <w:p>
            <w:r>
              <w:rPr>
                <w:b w:val="false"/>
                <w:bCs w:val="false"/>
                <w:color w:val="222222"/>
                <w:sz w:val="19"/>
                <w:szCs w:val="19"/>
              </w:rPr>
              <w:t xml:space="preserve">GM</w:t>
            </w:r>
          </w:p>
        </w:tc>
        <w:tc>
          <w:tcPr>
            <w:tcW w:type="dxa" w:w="2040"/>
            <w:shd w:fill="FFFFFF" w:val="clear"/>
            <w:tcMar>
              <w:top w:type="dxa" w:w="100"/>
              <w:left w:type="dxa" w:w="120"/>
              <w:bottom w:type="dxa" w:w="100"/>
              <w:right w:type="dxa" w:w="120"/>
            </w:tcMar>
          </w:tcPr>
          <w:p>
            <w:r>
              <w:rPr>
                <w:b w:val="false"/>
                <w:bCs w:val="false"/>
                <w:color w:val="222222"/>
                <w:sz w:val="19"/>
                <w:szCs w:val="19"/>
              </w:rPr>
              <w:t xml:space="preserve">CLD Programme Strategy §7</w:t>
            </w:r>
          </w:p>
        </w:tc>
      </w:tr>
      <w:tr>
        <w:tc>
          <w:tcPr>
            <w:tcW w:type="dxa" w:w="2800"/>
            <w:shd w:fill="F2EFE9" w:val="clear"/>
            <w:tcMar>
              <w:top w:type="dxa" w:w="100"/>
              <w:left w:type="dxa" w:w="120"/>
              <w:bottom w:type="dxa" w:w="100"/>
              <w:right w:type="dxa" w:w="120"/>
            </w:tcMar>
          </w:tcPr>
          <w:p>
            <w:r>
              <w:rPr>
                <w:b w:val="false"/>
                <w:bCs w:val="false"/>
                <w:color w:val="222222"/>
                <w:sz w:val="19"/>
                <w:szCs w:val="19"/>
              </w:rPr>
              <w:t xml:space="preserve">8. Give the curious few something real</w:t>
            </w:r>
          </w:p>
        </w:tc>
        <w:tc>
          <w:tcPr>
            <w:tcW w:type="dxa" w:w="3900"/>
            <w:shd w:fill="F2EFE9" w:val="clear"/>
            <w:tcMar>
              <w:top w:type="dxa" w:w="100"/>
              <w:left w:type="dxa" w:w="120"/>
              <w:bottom w:type="dxa" w:w="100"/>
              <w:right w:type="dxa" w:w="120"/>
            </w:tcMar>
          </w:tcPr>
          <w:p>
            <w:r>
              <w:rPr>
                <w:b w:val="false"/>
                <w:bCs w:val="false"/>
                <w:color w:val="222222"/>
                <w:sz w:val="19"/>
                <w:szCs w:val="19"/>
              </w:rPr>
              <w:t xml:space="preserve">Small-group, opt-in offering for guests who want to engage deeper: a short walk-and-talk on the dome's construction story, biodiversity study findings, or STP/water systems. Not a mass activity; bookable, low-key, staff-led.</w:t>
            </w:r>
          </w:p>
        </w:tc>
        <w:tc>
          <w:tcPr>
            <w:tcW w:type="dxa" w:w="1300"/>
            <w:shd w:fill="F2EFE9" w:val="clear"/>
            <w:tcMar>
              <w:top w:type="dxa" w:w="100"/>
              <w:left w:type="dxa" w:w="120"/>
              <w:bottom w:type="dxa" w:w="100"/>
              <w:right w:type="dxa" w:w="120"/>
            </w:tcMar>
          </w:tcPr>
          <w:p>
            <w:r>
              <w:rPr>
                <w:b w:val="false"/>
                <w:bCs w:val="false"/>
                <w:color w:val="222222"/>
                <w:sz w:val="19"/>
                <w:szCs w:val="19"/>
              </w:rPr>
              <w:t xml:space="preserve">GM + Karthik</w:t>
            </w:r>
          </w:p>
        </w:tc>
        <w:tc>
          <w:tcPr>
            <w:tcW w:type="dxa" w:w="2040"/>
            <w:shd w:fill="F2EFE9" w:val="clear"/>
            <w:tcMar>
              <w:top w:type="dxa" w:w="100"/>
              <w:left w:type="dxa" w:w="120"/>
              <w:bottom w:type="dxa" w:w="100"/>
              <w:right w:type="dxa" w:w="120"/>
            </w:tcMar>
          </w:tcPr>
          <w:p>
            <w:r>
              <w:rPr>
                <w:b w:val="false"/>
                <w:bCs w:val="false"/>
                <w:color w:val="222222"/>
                <w:sz w:val="19"/>
                <w:szCs w:val="19"/>
              </w:rPr>
              <w:t xml:space="preserve">P1 Regenerative Land pillar</w:t>
            </w:r>
          </w:p>
        </w:tc>
      </w:tr>
      <w:tr>
        <w:tc>
          <w:tcPr>
            <w:tcW w:type="dxa" w:w="2800"/>
            <w:shd w:fill="FFFFFF" w:val="clear"/>
            <w:tcMar>
              <w:top w:type="dxa" w:w="100"/>
              <w:left w:type="dxa" w:w="120"/>
              <w:bottom w:type="dxa" w:w="100"/>
              <w:right w:type="dxa" w:w="120"/>
            </w:tcMar>
          </w:tcPr>
          <w:p>
            <w:r>
              <w:rPr>
                <w:b w:val="false"/>
                <w:bCs w:val="false"/>
                <w:color w:val="222222"/>
                <w:sz w:val="19"/>
                <w:szCs w:val="19"/>
              </w:rPr>
              <w:t xml:space="preserve">9. Staff and guest behaviour reinforce each other</w:t>
            </w:r>
          </w:p>
        </w:tc>
        <w:tc>
          <w:tcPr>
            <w:tcW w:type="dxa" w:w="3900"/>
            <w:shd w:fill="FFFFFF" w:val="clear"/>
            <w:tcMar>
              <w:top w:type="dxa" w:w="100"/>
              <w:left w:type="dxa" w:w="120"/>
              <w:bottom w:type="dxa" w:w="100"/>
              <w:right w:type="dxa" w:w="120"/>
            </w:tcMar>
          </w:tcPr>
          <w:p>
            <w:r>
              <w:rPr>
                <w:b w:val="false"/>
                <w:bCs w:val="false"/>
                <w:color w:val="222222"/>
                <w:sz w:val="19"/>
                <w:szCs w:val="19"/>
              </w:rPr>
              <w:t xml:space="preserve">Fold sustainability practice into August staff training (already scheduled, Ravi Shankar) rather than a separate module — visible staff practice (waste sorting, water discipline) is content and culture at once.</w:t>
            </w:r>
          </w:p>
        </w:tc>
        <w:tc>
          <w:tcPr>
            <w:tcW w:type="dxa" w:w="1300"/>
            <w:shd w:fill="FFFFFF" w:val="clear"/>
            <w:tcMar>
              <w:top w:type="dxa" w:w="100"/>
              <w:left w:type="dxa" w:w="120"/>
              <w:bottom w:type="dxa" w:w="100"/>
              <w:right w:type="dxa" w:w="120"/>
            </w:tcMar>
          </w:tcPr>
          <w:p>
            <w:r>
              <w:rPr>
                <w:b w:val="false"/>
                <w:bCs w:val="false"/>
                <w:color w:val="222222"/>
                <w:sz w:val="19"/>
                <w:szCs w:val="19"/>
              </w:rPr>
              <w:t xml:space="preserve">Ravi Shankar (GM)</w:t>
            </w:r>
          </w:p>
        </w:tc>
        <w:tc>
          <w:tcPr>
            <w:tcW w:type="dxa" w:w="2040"/>
            <w:shd w:fill="FFFFFF" w:val="clear"/>
            <w:tcMar>
              <w:top w:type="dxa" w:w="100"/>
              <w:left w:type="dxa" w:w="120"/>
              <w:bottom w:type="dxa" w:w="100"/>
              <w:right w:type="dxa" w:w="120"/>
            </w:tcMar>
          </w:tcPr>
          <w:p>
            <w:r>
              <w:rPr>
                <w:b w:val="false"/>
                <w:bCs w:val="false"/>
                <w:color w:val="222222"/>
                <w:sz w:val="19"/>
                <w:szCs w:val="19"/>
              </w:rPr>
              <w:t xml:space="preserve">hr-payroll.md, Aug staff training</w:t>
            </w:r>
          </w:p>
        </w:tc>
      </w:tr>
      <w:tr>
        <w:tc>
          <w:tcPr>
            <w:tcW w:type="dxa" w:w="2800"/>
            <w:shd w:fill="F2EFE9" w:val="clear"/>
            <w:tcMar>
              <w:top w:type="dxa" w:w="100"/>
              <w:left w:type="dxa" w:w="120"/>
              <w:bottom w:type="dxa" w:w="100"/>
              <w:right w:type="dxa" w:w="120"/>
            </w:tcMar>
          </w:tcPr>
          <w:p>
            <w:r>
              <w:rPr>
                <w:b w:val="false"/>
                <w:bCs w:val="false"/>
                <w:color w:val="222222"/>
                <w:sz w:val="19"/>
                <w:szCs w:val="19"/>
              </w:rPr>
              <w:t xml:space="preserve">10. Don't trade comfort for it</w:t>
            </w:r>
          </w:p>
        </w:tc>
        <w:tc>
          <w:tcPr>
            <w:tcW w:type="dxa" w:w="3900"/>
            <w:shd w:fill="F2EFE9" w:val="clear"/>
            <w:tcMar>
              <w:top w:type="dxa" w:w="100"/>
              <w:left w:type="dxa" w:w="120"/>
              <w:bottom w:type="dxa" w:w="100"/>
              <w:right w:type="dxa" w:w="120"/>
            </w:tcMar>
          </w:tcPr>
          <w:p>
            <w:r>
              <w:rPr>
                <w:b w:val="false"/>
                <w:bCs w:val="false"/>
                <w:color w:val="222222"/>
                <w:sz w:val="19"/>
                <w:szCs w:val="19"/>
              </w:rPr>
              <w:t xml:space="preserve">Any efficiency or sourcing change is guest-comfort-neutral or positive before it proceeds — matches the Parasympathetic Resort positioning directly; comfort is the product, sustainability is the substrate.</w:t>
            </w:r>
          </w:p>
        </w:tc>
        <w:tc>
          <w:tcPr>
            <w:tcW w:type="dxa" w:w="1300"/>
            <w:shd w:fill="F2EFE9" w:val="clear"/>
            <w:tcMar>
              <w:top w:type="dxa" w:w="100"/>
              <w:left w:type="dxa" w:w="120"/>
              <w:bottom w:type="dxa" w:w="100"/>
              <w:right w:type="dxa" w:w="120"/>
            </w:tcMar>
          </w:tcPr>
          <w:p>
            <w:r>
              <w:rPr>
                <w:b w:val="false"/>
                <w:bCs w:val="false"/>
                <w:color w:val="222222"/>
                <w:sz w:val="19"/>
                <w:szCs w:val="19"/>
              </w:rPr>
              <w:t xml:space="preserve">Karthik (gate-keeper)</w:t>
            </w:r>
          </w:p>
        </w:tc>
        <w:tc>
          <w:tcPr>
            <w:tcW w:type="dxa" w:w="2040"/>
            <w:shd w:fill="F2EFE9" w:val="clear"/>
            <w:tcMar>
              <w:top w:type="dxa" w:w="100"/>
              <w:left w:type="dxa" w:w="120"/>
              <w:bottom w:type="dxa" w:w="100"/>
              <w:right w:type="dxa" w:w="120"/>
            </w:tcMar>
          </w:tcPr>
          <w:p>
            <w:r>
              <w:rPr>
                <w:b w:val="false"/>
                <w:bCs w:val="false"/>
                <w:color w:val="222222"/>
                <w:sz w:val="19"/>
                <w:szCs w:val="19"/>
              </w:rPr>
              <w:t xml:space="preserve">Brand positioning §2</w:t>
            </w:r>
          </w:p>
        </w:tc>
      </w:tr>
    </w:tbl>
    <w:p>
      <w:r>
        <w:br w:type="page"/>
      </w:r>
    </w:p>
    <w:p>
      <w:pPr>
        <w:pStyle w:val="Heading1"/>
        <w:spacing w:after="200" w:before="400"/>
      </w:pPr>
      <w:r>
        <w:rPr>
          <w:b/>
          <w:bCs/>
          <w:color w:val="1F2E2E"/>
          <w:sz w:val="30"/>
          <w:szCs w:val="30"/>
        </w:rPr>
        <w:t xml:space="preserve">4. The off-grid case study — relevance flag, not a proposal</w:t>
      </w:r>
    </w:p>
    <w:p>
      <w:pPr>
        <w:spacing w:after="140"/>
      </w:pPr>
      <w:r>
        <w:rPr>
          <w:color w:val="222222"/>
          <w:sz w:val="21"/>
          <w:szCs w:val="21"/>
        </w:rPr>
        <w:t xml:space="preserve">The carousel closes with eco_mantra's own case study: an off-grid property on Nusa Penida designed around passive architecture (orientation, shading, natural ventilation) so guest comfort doesn't depend on constant mechanical cooling, plus site-wide rainwater harvesting built into the landscape rather than added after.</w:t>
      </w:r>
    </w:p>
    <w:p>
      <w:pPr>
        <w:spacing w:after="140"/>
      </w:pPr>
      <w:r>
        <w:rPr>
          <w:color w:val="222222"/>
          <w:sz w:val="21"/>
          <w:szCs w:val="21"/>
        </w:rPr>
        <w:t xml:space="preserve">TDRR is grid-connected, so this doesn't transfer directly — but two underlying principles are directly relevant to Zone B / jumbo dome expansion planning already underway: (a) get passive comfort (shading, ventilation, dome geometry) right at design stage rather than compensating with HVAC later, and (b) treat water systems as landscape design, not bolt-on infrastructure. Flagging for the master-plan team, not proposing a redesign.</w:t>
      </w:r>
    </w:p>
    <w:p>
      <w:pPr>
        <w:spacing w:after="100"/>
      </w:pPr>
      <w:r>
        <w:rPr>
          <w:i/>
          <w:iCs/>
          <w:color w:val="6B6B6B"/>
          <w:sz w:val="18"/>
          <w:szCs w:val="18"/>
        </w:rPr>
        <w:t xml:space="preserve">Ties to: expansion-master-plan.md, jumbo-dome-report/. No action owner assigned — input for design review only.</w:t>
      </w:r>
    </w:p>
    <w:p>
      <w:pPr>
        <w:pStyle w:val="Heading1"/>
        <w:spacing w:after="200" w:before="400"/>
      </w:pPr>
      <w:r>
        <w:rPr>
          <w:b/>
          <w:bCs/>
          <w:color w:val="1F2E2E"/>
          <w:sz w:val="30"/>
          <w:szCs w:val="30"/>
        </w:rPr>
        <w:t xml:space="preserve">5. Phased roadmap</w:t>
      </w:r>
    </w:p>
    <w:p>
      <w:pPr>
        <w:pStyle w:val="Heading2"/>
        <w:spacing w:after="120" w:before="300"/>
      </w:pPr>
      <w:r>
        <w:rPr>
          <w:b/>
          <w:bCs/>
          <w:color w:val="4C6B4F"/>
          <w:sz w:val="24"/>
          <w:szCs w:val="24"/>
        </w:rPr>
        <w:t xml:space="preserve">Phase 1 — Aug–Sep 2026 (Evidence &amp; quick wins)</w:t>
      </w:r>
    </w:p>
    <w:p>
      <w:pPr>
        <w:pStyle w:val="ListParagraph"/>
        <w:numPr>
          <w:ilvl w:val="0"/>
          <w:numId w:val="1"/>
        </w:numPr>
        <w:spacing w:after="80"/>
      </w:pPr>
      <w:r>
        <w:rPr>
          <w:color w:val="222222"/>
          <w:sz w:val="21"/>
          <w:szCs w:val="21"/>
        </w:rPr>
        <w:t xml:space="preserve">Karthik confirmed as Sustainability Program Lead; schedule the M1 Director meeting already called for in the Brand Guide §10 (Karthik, GM, Mohan).</w:t>
      </w:r>
    </w:p>
    <w:p>
      <w:pPr>
        <w:pStyle w:val="ListParagraph"/>
        <w:numPr>
          <w:ilvl w:val="0"/>
          <w:numId w:val="1"/>
        </w:numPr>
        <w:spacing w:after="80"/>
      </w:pPr>
      <w:r>
        <w:rPr>
          <w:color w:val="222222"/>
          <w:sz w:val="21"/>
          <w:szCs w:val="21"/>
        </w:rPr>
        <w:t xml:space="preserve">Start the structured retrofit audit (#3) across all 11 rooms — folds into the water/energy metering already begun in June.</w:t>
      </w:r>
    </w:p>
    <w:p>
      <w:pPr>
        <w:pStyle w:val="ListParagraph"/>
        <w:numPr>
          <w:ilvl w:val="0"/>
          <w:numId w:val="1"/>
        </w:numPr>
        <w:spacing w:after="80"/>
      </w:pPr>
      <w:r>
        <w:rPr>
          <w:color w:val="222222"/>
          <w:sz w:val="21"/>
          <w:szCs w:val="21"/>
        </w:rPr>
        <w:t xml:space="preserve">Fold sustainability practice into the scheduled August staff training (#9) — no new session needed, amend Ravi's existing plan.</w:t>
      </w:r>
    </w:p>
    <w:p>
      <w:pPr>
        <w:pStyle w:val="ListParagraph"/>
        <w:numPr>
          <w:ilvl w:val="0"/>
          <w:numId w:val="1"/>
        </w:numPr>
        <w:spacing w:after="80"/>
      </w:pPr>
      <w:r>
        <w:rPr>
          <w:color w:val="222222"/>
          <w:sz w:val="21"/>
          <w:szCs w:val="21"/>
        </w:rPr>
        <w:t xml:space="preserve">Draft the local-sourcing % tracker (#5) as a simple GM-owned log, ready to feed the certification evidence folder.</w:t>
      </w:r>
    </w:p>
    <w:p>
      <w:pPr>
        <w:pStyle w:val="Heading2"/>
        <w:spacing w:after="120" w:before="300"/>
      </w:pPr>
      <w:r>
        <w:rPr>
          <w:b/>
          <w:bCs/>
          <w:color w:val="4C6B4F"/>
          <w:sz w:val="24"/>
          <w:szCs w:val="24"/>
        </w:rPr>
        <w:t xml:space="preserve">Phase 2 — Oct–Nov 2026 (Certification push)</w:t>
      </w:r>
    </w:p>
    <w:p>
      <w:pPr>
        <w:pStyle w:val="ListParagraph"/>
        <w:numPr>
          <w:ilvl w:val="0"/>
          <w:numId w:val="1"/>
        </w:numPr>
        <w:spacing w:after="80"/>
      </w:pPr>
      <w:r>
        <w:rPr>
          <w:color w:val="222222"/>
          <w:sz w:val="21"/>
          <w:szCs w:val="21"/>
        </w:rPr>
        <w:t xml:space="preserve">Kitchen/F&amp;B waste audit (#4) once ANNA system is live — target tied to the Nov 2026 RTSOI/GSTC evidence deadline.</w:t>
      </w:r>
    </w:p>
    <w:p>
      <w:pPr>
        <w:pStyle w:val="ListParagraph"/>
        <w:numPr>
          <w:ilvl w:val="0"/>
          <w:numId w:val="1"/>
        </w:numPr>
        <w:spacing w:after="80"/>
      </w:pPr>
      <w:r>
        <w:rPr>
          <w:color w:val="222222"/>
          <w:sz w:val="21"/>
          <w:szCs w:val="21"/>
        </w:rPr>
        <w:t xml:space="preserve">Compile local-sourcing data, retrofit audit results, and staff-training evidence into the certification evidence folder alongside existing items (biodiversity study, STP, power factor optimisation, soap sachet programme).</w:t>
      </w:r>
    </w:p>
    <w:p>
      <w:pPr>
        <w:pStyle w:val="ListParagraph"/>
        <w:numPr>
          <w:ilvl w:val="0"/>
          <w:numId w:val="1"/>
        </w:numPr>
        <w:spacing w:after="80"/>
      </w:pPr>
      <w:r>
        <w:rPr>
          <w:color w:val="222222"/>
          <w:sz w:val="21"/>
          <w:szCs w:val="21"/>
        </w:rPr>
        <w:t xml:space="preserve">Pilot the curious-few walking offering (#8) with one CLD or stay cohort before deciding whether to formalise it as a bookable add-on.</w:t>
      </w:r>
    </w:p>
    <w:p>
      <w:pPr>
        <w:pStyle w:val="Heading2"/>
        <w:spacing w:after="120" w:before="300"/>
      </w:pPr>
      <w:r>
        <w:rPr>
          <w:b/>
          <w:bCs/>
          <w:color w:val="4C6B4F"/>
          <w:sz w:val="24"/>
          <w:szCs w:val="24"/>
        </w:rPr>
        <w:t xml:space="preserve">Phase 3 — Dec 2026 onward (Operating rhythm)</w:t>
      </w:r>
    </w:p>
    <w:p>
      <w:pPr>
        <w:pStyle w:val="ListParagraph"/>
        <w:numPr>
          <w:ilvl w:val="0"/>
          <w:numId w:val="1"/>
        </w:numPr>
        <w:spacing w:after="80"/>
      </w:pPr>
      <w:r>
        <w:rPr>
          <w:color w:val="222222"/>
          <w:sz w:val="21"/>
          <w:szCs w:val="21"/>
        </w:rPr>
        <w:t xml:space="preserve">Sustainability becomes a standing line in the existing 6-weekly Director review, owned by Karthik, reporting against the evidence folder — not a separate program.</w:t>
      </w:r>
    </w:p>
    <w:p>
      <w:pPr>
        <w:pStyle w:val="ListParagraph"/>
        <w:numPr>
          <w:ilvl w:val="0"/>
          <w:numId w:val="1"/>
        </w:numPr>
        <w:spacing w:after="80"/>
      </w:pPr>
      <w:r>
        <w:rPr>
          <w:color w:val="222222"/>
          <w:sz w:val="21"/>
          <w:szCs w:val="21"/>
        </w:rPr>
        <w:t xml:space="preserve">Feed confirmed, evidenced items only into P1/P3 Instagram content pillars (#6) — gated by the compset content-gap report as already decided.</w:t>
      </w:r>
    </w:p>
    <w:p>
      <w:pPr>
        <w:pStyle w:val="ListParagraph"/>
        <w:numPr>
          <w:ilvl w:val="0"/>
          <w:numId w:val="1"/>
        </w:numPr>
        <w:spacing w:after="80"/>
      </w:pPr>
      <w:r>
        <w:rPr>
          <w:color w:val="222222"/>
          <w:sz w:val="21"/>
          <w:szCs w:val="21"/>
        </w:rPr>
        <w:t xml:space="preserve">Revisit the passive-design and water-as-landscape principles (Section 4) during Zone B / jumbo dome design review.</w:t>
      </w:r>
    </w:p>
    <w:p>
      <w:pPr>
        <w:pStyle w:val="Heading1"/>
        <w:spacing w:after="200" w:before="400"/>
      </w:pPr>
      <w:r>
        <w:rPr>
          <w:b/>
          <w:bCs/>
          <w:color w:val="1F2E2E"/>
          <w:sz w:val="30"/>
          <w:szCs w:val="30"/>
        </w:rPr>
        <w:t xml:space="preserve">6. Decisions needed from the board</w:t>
      </w:r>
    </w:p>
    <w:p>
      <w:pPr>
        <w:pStyle w:val="ListParagraph"/>
        <w:numPr>
          <w:ilvl w:val="0"/>
          <w:numId w:val="1"/>
        </w:numPr>
        <w:spacing w:after="80"/>
      </w:pPr>
      <w:r>
        <w:rPr>
          <w:color w:val="222222"/>
          <w:sz w:val="21"/>
          <w:szCs w:val="21"/>
        </w:rPr>
        <w:t xml:space="preserve">Confirm Karthik as sustainability program lead formally (currently implied by Brand Guide §10, not yet minuted in decisions-log).</w:t>
      </w:r>
    </w:p>
    <w:p>
      <w:pPr>
        <w:pStyle w:val="ListParagraph"/>
        <w:numPr>
          <w:ilvl w:val="0"/>
          <w:numId w:val="1"/>
        </w:numPr>
        <w:spacing w:after="80"/>
      </w:pPr>
      <w:r>
        <w:rPr>
          <w:color w:val="222222"/>
          <w:sz w:val="21"/>
          <w:szCs w:val="21"/>
        </w:rPr>
        <w:t xml:space="preserve">Approve folding the retrofit audit and local-sourcing tracker into Karthik's scope now, rather than waiting for the M1 meeting.</w:t>
      </w:r>
    </w:p>
    <w:p>
      <w:pPr>
        <w:pStyle w:val="ListParagraph"/>
        <w:numPr>
          <w:ilvl w:val="0"/>
          <w:numId w:val="1"/>
        </w:numPr>
        <w:spacing w:after="80"/>
      </w:pPr>
      <w:r>
        <w:rPr>
          <w:color w:val="222222"/>
          <w:sz w:val="21"/>
          <w:szCs w:val="21"/>
        </w:rPr>
        <w:t xml:space="preserve">Decide whether the curious-few walking offering (#8) is worth a Phase 2 pilot or is deferred until post-certification.</w:t>
      </w:r>
    </w:p>
    <w:p>
      <w:pPr>
        <w:pStyle w:val="Heading1"/>
        <w:spacing w:after="200" w:before="400"/>
      </w:pPr>
      <w:r>
        <w:rPr>
          <w:b/>
          <w:bCs/>
          <w:color w:val="1F2E2E"/>
          <w:sz w:val="30"/>
          <w:szCs w:val="30"/>
        </w:rPr>
        <w:t xml:space="preserve">Appendix — how this source was captured</w:t>
      </w:r>
    </w:p>
    <w:p>
      <w:pPr>
        <w:spacing w:after="140"/>
      </w:pPr>
      <w:r>
        <w:rPr>
          <w:color w:val="222222"/>
          <w:sz w:val="21"/>
          <w:szCs w:val="21"/>
        </w:rPr>
        <w:t xml:space="preserve">The eco_mantra profile could not be bulk-scraped this session: the Apify account is currently blocked account-wide ("too many outstanding invoices") across every actor tried, including the standard Instagram post/profile scrapers. This single post was instead captured manually via an interactive browser session (Claude-in-Chrome) since Apify was unavailable.</w:t>
      </w:r>
    </w:p>
    <w:p>
      <w:pPr>
        <w:pStyle w:val="Heading2"/>
        <w:spacing w:after="120" w:before="300"/>
      </w:pPr>
      <w:r>
        <w:rPr>
          <w:b/>
          <w:bCs/>
          <w:color w:val="4C6B4F"/>
          <w:sz w:val="24"/>
          <w:szCs w:val="24"/>
        </w:rPr>
        <w:t xml:space="preserve">Recommended method once Apify billing is cleared</w:t>
      </w:r>
    </w:p>
    <w:p>
      <w:pPr>
        <w:pStyle w:val="ListParagraph"/>
        <w:numPr>
          <w:ilvl w:val="0"/>
          <w:numId w:val="1"/>
        </w:numPr>
        <w:spacing w:after="80"/>
      </w:pPr>
      <w:r>
        <w:rPr>
          <w:color w:val="222222"/>
          <w:sz w:val="21"/>
          <w:szCs w:val="21"/>
        </w:rPr>
        <w:t xml:space="preserve">Actor: apify/instagram-post-scraper (official Apify actor) — input { "username": ["eco_mantra"], "resultsLimit": 0 (or a high cap), "dataDetailLevel": "detailed" } to pull the full post history, captions, engagement, and media URLs in one run.</w:t>
      </w:r>
    </w:p>
    <w:p>
      <w:pPr>
        <w:pStyle w:val="ListParagraph"/>
        <w:numPr>
          <w:ilvl w:val="0"/>
          <w:numId w:val="1"/>
        </w:numPr>
        <w:spacing w:after="80"/>
      </w:pPr>
      <w:r>
        <w:rPr>
          <w:color w:val="222222"/>
          <w:sz w:val="21"/>
          <w:szCs w:val="21"/>
        </w:rPr>
        <w:t xml:space="preserve">For richer per-post fields (128 fields incl. audio metadata, repost counts): data-slayer/instagram-post-details, fed a bulk list of post URLs from the first actor's output.</w:t>
      </w:r>
    </w:p>
    <w:p>
      <w:pPr>
        <w:pStyle w:val="ListParagraph"/>
        <w:numPr>
          <w:ilvl w:val="0"/>
          <w:numId w:val="1"/>
        </w:numPr>
        <w:spacing w:after="80"/>
      </w:pPr>
      <w:r>
        <w:rPr>
          <w:color w:val="222222"/>
          <w:sz w:val="21"/>
          <w:szCs w:val="21"/>
        </w:rPr>
        <w:t xml:space="preserve">Cost: official post-scraper is pay-per-event, roughly $0.0017–$0.0027 per post — a full profile history is typically a few dollars, not a meaningful spend.</w:t>
      </w:r>
    </w:p>
    <w:p>
      <w:pPr>
        <w:pStyle w:val="ListParagraph"/>
        <w:numPr>
          <w:ilvl w:val="0"/>
          <w:numId w:val="1"/>
        </w:numPr>
        <w:spacing w:after="80"/>
      </w:pPr>
      <w:r>
        <w:rPr>
          <w:color w:val="222222"/>
          <w:sz w:val="21"/>
          <w:szCs w:val="21"/>
        </w:rPr>
        <w:t xml:space="preserve">Action: clear the outstanding Apify invoice at apify.com/billing, then re-run — flagged as an open loop below.</w:t>
      </w:r>
    </w:p>
    <w:sectPr>
      <w:pgSz w:w="12240" w:h="15840"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2026-08-01T03:06:45.150Z</dcterms:created>
  <dcterms:modified xsi:type="dcterms:W3CDTF">2026-08-01T03:06:45.150Z</dcterms:modified>
</cp:coreProperties>
</file>

<file path=docProps/custom.xml><?xml version="1.0" encoding="utf-8"?>
<Properties xmlns="http://schemas.openxmlformats.org/officeDocument/2006/custom-properties" xmlns:vt="http://schemas.openxmlformats.org/officeDocument/2006/docPropsVTypes"/>
</file>